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7FA" w:rsidRDefault="00C201B3" w:rsidP="001317FA">
      <w:pPr>
        <w:autoSpaceDE w:val="0"/>
        <w:autoSpaceDN w:val="0"/>
        <w:adjustRightInd w:val="0"/>
        <w:rPr>
          <w:b/>
          <w:bCs/>
        </w:rPr>
      </w:pPr>
      <w:r>
        <w:rPr>
          <w:b/>
          <w:bCs/>
        </w:rPr>
        <w:t>Agriculture Appeals Act 2001 (Amendment of Schedule) Regulations 2006</w:t>
      </w:r>
    </w:p>
    <w:p w:rsidR="00C201B3" w:rsidRDefault="00C201B3" w:rsidP="001317FA">
      <w:pPr>
        <w:autoSpaceDE w:val="0"/>
        <w:autoSpaceDN w:val="0"/>
        <w:adjustRightInd w:val="0"/>
        <w:rPr>
          <w:b/>
          <w:bCs/>
          <w:lang w:val="en-IE"/>
        </w:rPr>
      </w:pPr>
      <w:r>
        <w:rPr>
          <w:b/>
          <w:bCs/>
          <w:lang w:val="en-IE"/>
        </w:rPr>
        <w:t>S.I. Number 65 of 2006</w:t>
      </w:r>
    </w:p>
    <w:p w:rsidR="00C201B3" w:rsidRDefault="00C201B3">
      <w:pPr>
        <w:autoSpaceDE w:val="0"/>
        <w:autoSpaceDN w:val="0"/>
        <w:adjustRightInd w:val="0"/>
        <w:rPr>
          <w:lang w:val="en-IE"/>
        </w:rPr>
      </w:pPr>
    </w:p>
    <w:p w:rsidR="00C201B3" w:rsidRDefault="00C201B3">
      <w:pPr>
        <w:autoSpaceDE w:val="0"/>
        <w:autoSpaceDN w:val="0"/>
        <w:adjustRightInd w:val="0"/>
        <w:rPr>
          <w:lang w:val="en-IE"/>
        </w:rPr>
      </w:pPr>
      <w:r>
        <w:rPr>
          <w:lang w:val="en-IE"/>
        </w:rPr>
        <w:t>The Minister for Agriculture and Food has made Regulations, entitled as above, which amend the Schedule to the Agriculture Appeals Act 2001. The Schedule to the Act specifies the Schemes that are covered by the Act. It is now necessary to amend the Schedule to the Act to include 2 new schemes being administered by the Department,</w:t>
      </w:r>
    </w:p>
    <w:p w:rsidR="00C201B3" w:rsidRDefault="00C201B3">
      <w:pPr>
        <w:autoSpaceDE w:val="0"/>
        <w:autoSpaceDN w:val="0"/>
        <w:adjustRightInd w:val="0"/>
        <w:rPr>
          <w:lang w:val="en-IE"/>
        </w:rPr>
      </w:pPr>
    </w:p>
    <w:p w:rsidR="001317FA" w:rsidRPr="001317FA" w:rsidRDefault="00C201B3" w:rsidP="001317FA">
      <w:pPr>
        <w:pStyle w:val="ListParagraph"/>
        <w:numPr>
          <w:ilvl w:val="0"/>
          <w:numId w:val="1"/>
        </w:numPr>
        <w:tabs>
          <w:tab w:val="left" w:pos="720"/>
        </w:tabs>
        <w:autoSpaceDE w:val="0"/>
        <w:autoSpaceDN w:val="0"/>
        <w:adjustRightInd w:val="0"/>
        <w:rPr>
          <w:lang w:val="en-IE"/>
        </w:rPr>
      </w:pPr>
      <w:r w:rsidRPr="001317FA">
        <w:rPr>
          <w:lang w:val="en-IE"/>
        </w:rPr>
        <w:t>“Scheme of Grant Aid for Improvements in Animal Welfare Standards (Sow Housing)”.</w:t>
      </w:r>
    </w:p>
    <w:p w:rsidR="00C201B3" w:rsidRPr="001317FA" w:rsidRDefault="00C201B3" w:rsidP="001317FA">
      <w:pPr>
        <w:pStyle w:val="ListParagraph"/>
        <w:tabs>
          <w:tab w:val="left" w:pos="720"/>
        </w:tabs>
        <w:autoSpaceDE w:val="0"/>
        <w:autoSpaceDN w:val="0"/>
        <w:adjustRightInd w:val="0"/>
        <w:rPr>
          <w:lang w:val="en-IE"/>
        </w:rPr>
      </w:pPr>
      <w:r w:rsidRPr="001317FA">
        <w:rPr>
          <w:lang w:val="en-IE"/>
        </w:rPr>
        <w:t xml:space="preserve"> </w:t>
      </w:r>
    </w:p>
    <w:p w:rsidR="00C201B3" w:rsidRDefault="00C201B3">
      <w:pPr>
        <w:tabs>
          <w:tab w:val="left" w:pos="720"/>
        </w:tabs>
        <w:autoSpaceDE w:val="0"/>
        <w:autoSpaceDN w:val="0"/>
        <w:adjustRightInd w:val="0"/>
        <w:ind w:left="720" w:hanging="360"/>
        <w:rPr>
          <w:lang w:val="en-IE"/>
        </w:rPr>
      </w:pPr>
      <w:r>
        <w:rPr>
          <w:lang w:val="en-IE"/>
        </w:rPr>
        <w:t>2.</w:t>
      </w:r>
      <w:r>
        <w:rPr>
          <w:lang w:val="en-IE"/>
        </w:rPr>
        <w:tab/>
        <w:t>“Part of the Single Payment Scheme, insofar as it relates to the following -</w:t>
      </w:r>
    </w:p>
    <w:p w:rsidR="00C201B3" w:rsidRDefault="00C201B3">
      <w:pPr>
        <w:autoSpaceDE w:val="0"/>
        <w:autoSpaceDN w:val="0"/>
        <w:adjustRightInd w:val="0"/>
        <w:rPr>
          <w:lang w:val="en-IE"/>
        </w:rPr>
      </w:pPr>
    </w:p>
    <w:p w:rsidR="00C201B3" w:rsidRDefault="00C201B3">
      <w:pPr>
        <w:tabs>
          <w:tab w:val="left" w:pos="2160"/>
        </w:tabs>
        <w:autoSpaceDE w:val="0"/>
        <w:autoSpaceDN w:val="0"/>
        <w:adjustRightInd w:val="0"/>
        <w:ind w:left="2160" w:hanging="720"/>
        <w:rPr>
          <w:b/>
          <w:bCs/>
          <w:lang w:val="en-IE"/>
        </w:rPr>
      </w:pPr>
      <w:r>
        <w:rPr>
          <w:b/>
          <w:bCs/>
          <w:lang w:val="en-IE"/>
        </w:rPr>
        <w:t>(a)</w:t>
      </w:r>
      <w:r>
        <w:rPr>
          <w:b/>
          <w:bCs/>
          <w:lang w:val="en-IE"/>
        </w:rPr>
        <w:tab/>
        <w:t>Under-declaration of land by omitting parcels:</w:t>
      </w:r>
    </w:p>
    <w:p w:rsidR="00C201B3" w:rsidRDefault="00C201B3">
      <w:pPr>
        <w:autoSpaceDE w:val="0"/>
        <w:autoSpaceDN w:val="0"/>
        <w:adjustRightInd w:val="0"/>
        <w:ind w:left="2160"/>
        <w:rPr>
          <w:lang w:val="en-IE"/>
        </w:rPr>
      </w:pPr>
      <w:r>
        <w:rPr>
          <w:lang w:val="en-IE"/>
        </w:rPr>
        <w:t>Article 14(1a) (inserted by paragraph 6(b) of Article 1 of Commission Regulation (EC) No. 239/2005) of Commission Regulation (EC) No 796/2004,</w:t>
      </w:r>
    </w:p>
    <w:p w:rsidR="00C201B3" w:rsidRDefault="00C201B3">
      <w:pPr>
        <w:autoSpaceDE w:val="0"/>
        <w:autoSpaceDN w:val="0"/>
        <w:adjustRightInd w:val="0"/>
        <w:ind w:left="1440"/>
        <w:rPr>
          <w:b/>
          <w:bCs/>
          <w:lang w:val="en-IE"/>
        </w:rPr>
      </w:pPr>
    </w:p>
    <w:p w:rsidR="00C201B3" w:rsidRDefault="00C201B3">
      <w:pPr>
        <w:tabs>
          <w:tab w:val="left" w:pos="2160"/>
        </w:tabs>
        <w:autoSpaceDE w:val="0"/>
        <w:autoSpaceDN w:val="0"/>
        <w:adjustRightInd w:val="0"/>
        <w:ind w:left="2160" w:hanging="720"/>
        <w:rPr>
          <w:b/>
          <w:bCs/>
          <w:lang w:val="en-IE"/>
        </w:rPr>
      </w:pPr>
      <w:r>
        <w:rPr>
          <w:b/>
          <w:bCs/>
          <w:lang w:val="en-IE"/>
        </w:rPr>
        <w:t>(b)</w:t>
      </w:r>
      <w:r>
        <w:rPr>
          <w:b/>
          <w:bCs/>
          <w:lang w:val="en-IE"/>
        </w:rPr>
        <w:tab/>
        <w:t>Late submission of applications:</w:t>
      </w:r>
    </w:p>
    <w:p w:rsidR="00C201B3" w:rsidRDefault="00C201B3">
      <w:pPr>
        <w:autoSpaceDE w:val="0"/>
        <w:autoSpaceDN w:val="0"/>
        <w:adjustRightInd w:val="0"/>
        <w:ind w:left="1440" w:firstLine="720"/>
        <w:rPr>
          <w:lang w:val="en-IE"/>
        </w:rPr>
      </w:pPr>
      <w:r>
        <w:rPr>
          <w:lang w:val="en-IE"/>
        </w:rPr>
        <w:t>Article 21 of Commission Regulation (EC) No 796/2004,</w:t>
      </w:r>
    </w:p>
    <w:p w:rsidR="00C201B3" w:rsidRDefault="00C201B3">
      <w:pPr>
        <w:autoSpaceDE w:val="0"/>
        <w:autoSpaceDN w:val="0"/>
        <w:adjustRightInd w:val="0"/>
        <w:ind w:left="1440" w:firstLine="720"/>
        <w:rPr>
          <w:lang w:val="en-IE"/>
        </w:rPr>
      </w:pPr>
    </w:p>
    <w:p w:rsidR="00C201B3" w:rsidRDefault="00C201B3">
      <w:pPr>
        <w:tabs>
          <w:tab w:val="left" w:pos="2160"/>
        </w:tabs>
        <w:autoSpaceDE w:val="0"/>
        <w:autoSpaceDN w:val="0"/>
        <w:adjustRightInd w:val="0"/>
        <w:ind w:left="2160" w:hanging="720"/>
        <w:rPr>
          <w:b/>
          <w:bCs/>
          <w:lang w:val="en-IE"/>
        </w:rPr>
      </w:pPr>
      <w:r>
        <w:rPr>
          <w:b/>
          <w:bCs/>
          <w:lang w:val="en-IE"/>
        </w:rPr>
        <w:t>(c)</w:t>
      </w:r>
      <w:r>
        <w:rPr>
          <w:b/>
          <w:bCs/>
          <w:lang w:val="en-IE"/>
        </w:rPr>
        <w:tab/>
        <w:t xml:space="preserve">Penalties arising from eligibility criteria such as over-declaration of land or </w:t>
      </w:r>
      <w:proofErr w:type="spellStart"/>
      <w:r>
        <w:rPr>
          <w:b/>
          <w:bCs/>
          <w:lang w:val="en-IE"/>
        </w:rPr>
        <w:t>setaside</w:t>
      </w:r>
      <w:proofErr w:type="spellEnd"/>
      <w:r>
        <w:rPr>
          <w:b/>
          <w:bCs/>
          <w:lang w:val="en-IE"/>
        </w:rPr>
        <w:t>:</w:t>
      </w:r>
    </w:p>
    <w:p w:rsidR="00C201B3" w:rsidRDefault="00C201B3">
      <w:pPr>
        <w:autoSpaceDE w:val="0"/>
        <w:autoSpaceDN w:val="0"/>
        <w:adjustRightInd w:val="0"/>
        <w:ind w:left="2160"/>
        <w:rPr>
          <w:lang w:val="en-IE"/>
        </w:rPr>
      </w:pPr>
      <w:r>
        <w:rPr>
          <w:lang w:val="en-IE"/>
        </w:rPr>
        <w:t>Chapter I of Title IV of Commission Regulation (EC) No 796/2004,</w:t>
      </w:r>
    </w:p>
    <w:p w:rsidR="00C201B3" w:rsidRDefault="00C201B3">
      <w:pPr>
        <w:autoSpaceDE w:val="0"/>
        <w:autoSpaceDN w:val="0"/>
        <w:adjustRightInd w:val="0"/>
        <w:ind w:left="1440"/>
        <w:rPr>
          <w:lang w:val="en-IE"/>
        </w:rPr>
      </w:pPr>
    </w:p>
    <w:p w:rsidR="00C201B3" w:rsidRDefault="00C201B3">
      <w:pPr>
        <w:tabs>
          <w:tab w:val="left" w:pos="2160"/>
        </w:tabs>
        <w:autoSpaceDE w:val="0"/>
        <w:autoSpaceDN w:val="0"/>
        <w:adjustRightInd w:val="0"/>
        <w:ind w:left="2160" w:right="-238" w:hanging="720"/>
        <w:rPr>
          <w:b/>
          <w:bCs/>
          <w:lang w:val="en-IE"/>
        </w:rPr>
      </w:pPr>
      <w:r>
        <w:rPr>
          <w:b/>
          <w:bCs/>
          <w:lang w:val="en-IE"/>
        </w:rPr>
        <w:t>(d)</w:t>
      </w:r>
      <w:r>
        <w:rPr>
          <w:b/>
          <w:bCs/>
          <w:lang w:val="en-IE"/>
        </w:rPr>
        <w:tab/>
        <w:t>Cross-compliance penalties:</w:t>
      </w:r>
    </w:p>
    <w:p w:rsidR="00C201B3" w:rsidRDefault="00C201B3">
      <w:pPr>
        <w:autoSpaceDE w:val="0"/>
        <w:autoSpaceDN w:val="0"/>
        <w:adjustRightInd w:val="0"/>
        <w:ind w:left="2160" w:right="-238"/>
        <w:rPr>
          <w:lang w:val="en-IE"/>
        </w:rPr>
      </w:pPr>
      <w:r>
        <w:rPr>
          <w:lang w:val="en-IE"/>
        </w:rPr>
        <w:t>Chapter II of Title IV of Commission Regulation (EC) No 796/2004,</w:t>
      </w:r>
    </w:p>
    <w:p w:rsidR="00C201B3" w:rsidRDefault="00C201B3">
      <w:pPr>
        <w:autoSpaceDE w:val="0"/>
        <w:autoSpaceDN w:val="0"/>
        <w:adjustRightInd w:val="0"/>
        <w:ind w:left="2160" w:right="-238"/>
        <w:rPr>
          <w:lang w:val="en-IE"/>
        </w:rPr>
      </w:pPr>
    </w:p>
    <w:p w:rsidR="00C201B3" w:rsidRDefault="00C201B3">
      <w:pPr>
        <w:tabs>
          <w:tab w:val="left" w:pos="2160"/>
        </w:tabs>
        <w:autoSpaceDE w:val="0"/>
        <w:autoSpaceDN w:val="0"/>
        <w:adjustRightInd w:val="0"/>
        <w:ind w:left="2160" w:hanging="720"/>
        <w:rPr>
          <w:b/>
          <w:bCs/>
          <w:lang w:val="en-IE"/>
        </w:rPr>
      </w:pPr>
      <w:r>
        <w:rPr>
          <w:b/>
          <w:bCs/>
          <w:lang w:val="en-IE"/>
        </w:rPr>
        <w:t>(e)</w:t>
      </w:r>
      <w:r>
        <w:rPr>
          <w:b/>
          <w:bCs/>
          <w:lang w:val="en-IE"/>
        </w:rPr>
        <w:tab/>
        <w:t>Surrender of entitlements to National Reserve where farmer fails to apply for Single Payment:</w:t>
      </w:r>
    </w:p>
    <w:p w:rsidR="00C201B3" w:rsidRDefault="00C201B3">
      <w:pPr>
        <w:autoSpaceDE w:val="0"/>
        <w:autoSpaceDN w:val="0"/>
        <w:adjustRightInd w:val="0"/>
        <w:ind w:left="1440" w:firstLine="720"/>
        <w:rPr>
          <w:lang w:val="en-IE"/>
        </w:rPr>
      </w:pPr>
      <w:r>
        <w:rPr>
          <w:lang w:val="en-IE"/>
        </w:rPr>
        <w:t>Article 34.3 of Council Regulation (EC) No 1782/2003,</w:t>
      </w:r>
    </w:p>
    <w:p w:rsidR="00C201B3" w:rsidRDefault="00C201B3">
      <w:pPr>
        <w:autoSpaceDE w:val="0"/>
        <w:autoSpaceDN w:val="0"/>
        <w:adjustRightInd w:val="0"/>
        <w:ind w:left="1440" w:firstLine="720"/>
        <w:rPr>
          <w:lang w:val="en-IE"/>
        </w:rPr>
      </w:pPr>
      <w:r>
        <w:rPr>
          <w:lang w:val="en-IE"/>
        </w:rPr>
        <w:t xml:space="preserve"> </w:t>
      </w:r>
    </w:p>
    <w:p w:rsidR="00C201B3" w:rsidRDefault="00C201B3">
      <w:pPr>
        <w:tabs>
          <w:tab w:val="left" w:pos="2160"/>
        </w:tabs>
        <w:autoSpaceDE w:val="0"/>
        <w:autoSpaceDN w:val="0"/>
        <w:adjustRightInd w:val="0"/>
        <w:ind w:left="2160" w:hanging="720"/>
        <w:rPr>
          <w:b/>
          <w:bCs/>
          <w:lang w:val="en-IE"/>
        </w:rPr>
      </w:pPr>
      <w:r>
        <w:rPr>
          <w:b/>
          <w:bCs/>
          <w:lang w:val="en-IE"/>
        </w:rPr>
        <w:t>(f)</w:t>
      </w:r>
      <w:r>
        <w:rPr>
          <w:b/>
          <w:bCs/>
          <w:lang w:val="en-IE"/>
        </w:rPr>
        <w:tab/>
        <w:t>Surrender of unused payment entitlements to the National Reserve:</w:t>
      </w:r>
    </w:p>
    <w:p w:rsidR="00C201B3" w:rsidRDefault="00C201B3">
      <w:pPr>
        <w:autoSpaceDE w:val="0"/>
        <w:autoSpaceDN w:val="0"/>
        <w:adjustRightInd w:val="0"/>
        <w:ind w:left="1440" w:firstLine="720"/>
        <w:rPr>
          <w:lang w:val="en-IE"/>
        </w:rPr>
      </w:pPr>
      <w:r>
        <w:rPr>
          <w:lang w:val="en-IE"/>
        </w:rPr>
        <w:t>Article 8 of Commission Regulation (EC) No 795/2004.”</w:t>
      </w:r>
    </w:p>
    <w:p w:rsidR="00C201B3" w:rsidRDefault="00C201B3">
      <w:pPr>
        <w:autoSpaceDE w:val="0"/>
        <w:autoSpaceDN w:val="0"/>
        <w:adjustRightInd w:val="0"/>
        <w:ind w:left="1440" w:firstLine="720"/>
        <w:rPr>
          <w:lang w:val="en-IE"/>
        </w:rPr>
      </w:pPr>
    </w:p>
    <w:p w:rsidR="00C201B3" w:rsidRDefault="00C201B3">
      <w:pPr>
        <w:autoSpaceDE w:val="0"/>
        <w:autoSpaceDN w:val="0"/>
        <w:adjustRightInd w:val="0"/>
        <w:rPr>
          <w:lang w:val="en-IE"/>
        </w:rPr>
      </w:pPr>
      <w:r>
        <w:rPr>
          <w:lang w:val="en-IE"/>
        </w:rPr>
        <w:t xml:space="preserve">Copies may be obtained from the Government Publications Sale Office, Sun Alliance House, </w:t>
      </w:r>
      <w:proofErr w:type="spellStart"/>
      <w:r>
        <w:rPr>
          <w:lang w:val="en-IE"/>
        </w:rPr>
        <w:t>Molesworth</w:t>
      </w:r>
      <w:proofErr w:type="spellEnd"/>
      <w:r>
        <w:rPr>
          <w:lang w:val="en-IE"/>
        </w:rPr>
        <w:t xml:space="preserve"> Street, Dublin 2 or by mail order from Government Publications, Postal Trade Section, 4/5 Harcourt Road, Dublin 2, Fax: 4752760.</w:t>
      </w:r>
    </w:p>
    <w:p w:rsidR="00C201B3" w:rsidRDefault="00C201B3">
      <w:pPr>
        <w:autoSpaceDE w:val="0"/>
        <w:autoSpaceDN w:val="0"/>
        <w:adjustRightInd w:val="0"/>
        <w:rPr>
          <w:rFonts w:ascii="Arial" w:hAnsi="Arial" w:cs="Arial"/>
          <w:sz w:val="20"/>
          <w:szCs w:val="20"/>
          <w:lang w:val="en-IE"/>
        </w:rPr>
      </w:pPr>
      <w:r>
        <w:rPr>
          <w:lang w:val="en-IE"/>
        </w:rPr>
        <w:t>Price €1.27 plus postage.</w:t>
      </w:r>
      <w:bookmarkStart w:id="0" w:name="_GoBack"/>
      <w:bookmarkEnd w:id="0"/>
      <w:r w:rsidR="001317FA">
        <w:rPr>
          <w:rFonts w:ascii="Arial" w:hAnsi="Arial" w:cs="Arial"/>
          <w:sz w:val="20"/>
          <w:szCs w:val="20"/>
          <w:lang w:val="en-IE"/>
        </w:rPr>
        <w:t xml:space="preserve"> </w:t>
      </w:r>
    </w:p>
    <w:p w:rsidR="00C201B3" w:rsidRDefault="00C201B3"/>
    <w:sectPr w:rsidR="00C201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B606A"/>
    <w:multiLevelType w:val="hybridMultilevel"/>
    <w:tmpl w:val="A1665FF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2FC"/>
    <w:rsid w:val="001317FA"/>
    <w:rsid w:val="007F12FC"/>
    <w:rsid w:val="00C201B3"/>
    <w:rsid w:val="00E06A8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DB1831-B06D-4EA5-AD24-24F45D8E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7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Agriculture Appeals Act 2001 (Amendment of Schedule) Regulations 2006</vt:lpstr>
    </vt:vector>
  </TitlesOfParts>
  <Company>Department of Agriculture</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Agriculture Appeals Act 2001 (Amendment of Schedule) Regulations 2006</dc:title>
  <dc:subject/>
  <dc:creator>Deirdre.Tierney</dc:creator>
  <cp:keywords/>
  <dc:description/>
  <cp:lastModifiedBy>Larkin, Vera</cp:lastModifiedBy>
  <cp:revision>3</cp:revision>
  <dcterms:created xsi:type="dcterms:W3CDTF">2015-06-25T10:39:00Z</dcterms:created>
  <dcterms:modified xsi:type="dcterms:W3CDTF">2015-06-25T11:02:00Z</dcterms:modified>
</cp:coreProperties>
</file>